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user"/>
        <w:spacing w:lineRule="exact" w:line="420"/>
        <w:jc w:val="center"/>
        <w:rPr>
          <w:rFonts w:ascii="標楷體" w:hAnsi="標楷體" w:eastAsia="標楷體"/>
          <w:sz w:val="40"/>
          <w:szCs w:val="40"/>
        </w:rPr>
      </w:pPr>
      <w:r>
        <w:rPr>
          <w:rFonts w:ascii="標楷體" w:hAnsi="標楷體" w:eastAsia="標楷體"/>
          <w:sz w:val="40"/>
          <w:szCs w:val="40"/>
        </w:rPr>
        <w:t>臺南市政府文化局對民間團體及個人藝文補助作業要點</w:t>
      </w:r>
    </w:p>
    <w:p>
      <w:pPr>
        <w:pStyle w:val="user"/>
        <w:spacing w:lineRule="exact" w:line="420"/>
        <w:jc w:val="end"/>
        <w:rPr>
          <w:rFonts w:ascii="標楷體" w:hAnsi="標楷體" w:eastAsia="標楷體"/>
          <w:sz w:val="20"/>
          <w:szCs w:val="20"/>
        </w:rPr>
      </w:pPr>
      <w:r>
        <w:rPr>
          <w:rFonts w:ascii="標楷體" w:hAnsi="標楷體" w:eastAsia="標楷體"/>
          <w:sz w:val="20"/>
          <w:szCs w:val="20"/>
        </w:rPr>
        <w:t>臺南市政府文化局</w:t>
      </w:r>
      <w:r>
        <w:rPr>
          <w:rFonts w:eastAsia="標楷體" w:ascii="標楷體" w:hAnsi="標楷體"/>
          <w:sz w:val="20"/>
          <w:szCs w:val="20"/>
        </w:rPr>
        <w:t>102</w:t>
      </w:r>
      <w:r>
        <w:rPr>
          <w:rFonts w:ascii="標楷體" w:hAnsi="標楷體" w:eastAsia="標楷體"/>
          <w:sz w:val="20"/>
          <w:szCs w:val="20"/>
        </w:rPr>
        <w:t>年</w:t>
      </w:r>
      <w:r>
        <w:rPr>
          <w:rFonts w:eastAsia="標楷體" w:ascii="標楷體" w:hAnsi="標楷體"/>
          <w:sz w:val="20"/>
          <w:szCs w:val="20"/>
        </w:rPr>
        <w:t>7</w:t>
      </w:r>
      <w:r>
        <w:rPr>
          <w:rFonts w:ascii="標楷體" w:hAnsi="標楷體" w:eastAsia="標楷體"/>
          <w:sz w:val="20"/>
          <w:szCs w:val="20"/>
        </w:rPr>
        <w:t>月</w:t>
      </w:r>
      <w:r>
        <w:rPr>
          <w:rFonts w:eastAsia="標楷體" w:ascii="標楷體" w:hAnsi="標楷體"/>
          <w:sz w:val="20"/>
          <w:szCs w:val="20"/>
        </w:rPr>
        <w:t>25</w:t>
      </w:r>
      <w:r>
        <w:rPr>
          <w:rFonts w:ascii="標楷體" w:hAnsi="標楷體" w:eastAsia="標楷體"/>
          <w:sz w:val="20"/>
          <w:szCs w:val="20"/>
        </w:rPr>
        <w:t>日南市文秘字第</w:t>
      </w:r>
      <w:r>
        <w:rPr>
          <w:rFonts w:eastAsia="標楷體" w:ascii="標楷體" w:hAnsi="標楷體"/>
          <w:sz w:val="20"/>
          <w:szCs w:val="20"/>
        </w:rPr>
        <w:t>1020650947</w:t>
      </w:r>
      <w:r>
        <w:rPr>
          <w:rFonts w:ascii="標楷體" w:hAnsi="標楷體" w:eastAsia="標楷體"/>
          <w:sz w:val="20"/>
          <w:szCs w:val="20"/>
        </w:rPr>
        <w:t>號函訂定</w:t>
      </w:r>
    </w:p>
    <w:p>
      <w:pPr>
        <w:pStyle w:val="user"/>
        <w:kinsoku w:val="false"/>
        <w:spacing w:lineRule="exact" w:line="420"/>
        <w:jc w:val="end"/>
        <w:rPr>
          <w:rFonts w:ascii="標楷體" w:hAnsi="標楷體" w:eastAsia="標楷體"/>
          <w:sz w:val="20"/>
          <w:szCs w:val="20"/>
        </w:rPr>
      </w:pPr>
      <w:r>
        <w:rPr>
          <w:rFonts w:ascii="標楷體" w:hAnsi="標楷體" w:eastAsia="標楷體"/>
          <w:sz w:val="20"/>
          <w:szCs w:val="20"/>
        </w:rPr>
        <w:t>臺南市政府文化局</w:t>
      </w:r>
      <w:r>
        <w:rPr>
          <w:rFonts w:eastAsia="標楷體" w:ascii="標楷體" w:hAnsi="標楷體"/>
          <w:sz w:val="20"/>
          <w:szCs w:val="20"/>
        </w:rPr>
        <w:t>111</w:t>
      </w:r>
      <w:r>
        <w:rPr>
          <w:rFonts w:ascii="標楷體" w:hAnsi="標楷體" w:eastAsia="標楷體"/>
          <w:sz w:val="20"/>
          <w:szCs w:val="20"/>
        </w:rPr>
        <w:t>年</w:t>
      </w:r>
      <w:r>
        <w:rPr>
          <w:rFonts w:eastAsia="標楷體" w:ascii="標楷體" w:hAnsi="標楷體"/>
          <w:sz w:val="20"/>
          <w:szCs w:val="20"/>
        </w:rPr>
        <w:t>4</w:t>
      </w:r>
      <w:r>
        <w:rPr>
          <w:rFonts w:ascii="標楷體" w:hAnsi="標楷體" w:eastAsia="標楷體"/>
          <w:sz w:val="20"/>
          <w:szCs w:val="20"/>
        </w:rPr>
        <w:t>月</w:t>
      </w:r>
      <w:r>
        <w:rPr>
          <w:rFonts w:eastAsia="標楷體" w:ascii="標楷體" w:hAnsi="標楷體"/>
          <w:sz w:val="20"/>
          <w:szCs w:val="20"/>
        </w:rPr>
        <w:t>1</w:t>
      </w:r>
      <w:r>
        <w:rPr>
          <w:rFonts w:ascii="標楷體" w:hAnsi="標楷體" w:eastAsia="標楷體"/>
          <w:sz w:val="20"/>
          <w:szCs w:val="20"/>
        </w:rPr>
        <w:t>日南市文秘字第</w:t>
      </w:r>
      <w:r>
        <w:rPr>
          <w:rFonts w:eastAsia="標楷體" w:ascii="標楷體" w:hAnsi="標楷體"/>
          <w:sz w:val="20"/>
          <w:szCs w:val="20"/>
        </w:rPr>
        <w:t>1110286965</w:t>
      </w:r>
      <w:r>
        <w:rPr>
          <w:rFonts w:ascii="標楷體" w:hAnsi="標楷體" w:eastAsia="標楷體"/>
          <w:sz w:val="20"/>
          <w:szCs w:val="20"/>
        </w:rPr>
        <w:t>號函修正部分規定，並自即日生效</w:t>
      </w:r>
    </w:p>
    <w:p>
      <w:pPr>
        <w:pStyle w:val="user"/>
        <w:spacing w:lineRule="exact" w:line="420"/>
        <w:jc w:val="end"/>
        <w:rPr>
          <w:rFonts w:ascii="標楷體" w:hAnsi="標楷體" w:eastAsia="標楷體"/>
          <w:sz w:val="20"/>
          <w:szCs w:val="20"/>
        </w:rPr>
      </w:pPr>
      <w:r>
        <w:rPr>
          <w:rFonts w:ascii="標楷體" w:hAnsi="標楷體" w:eastAsia="標楷體"/>
          <w:sz w:val="20"/>
          <w:szCs w:val="20"/>
        </w:rPr>
        <w:t>臺南市政府文化局</w:t>
      </w:r>
      <w:r>
        <w:rPr>
          <w:rFonts w:eastAsia="標楷體" w:ascii="標楷體" w:hAnsi="標楷體"/>
          <w:sz w:val="20"/>
          <w:szCs w:val="20"/>
        </w:rPr>
        <w:t>113</w:t>
      </w:r>
      <w:r>
        <w:rPr>
          <w:rFonts w:ascii="標楷體" w:hAnsi="標楷體" w:eastAsia="標楷體"/>
          <w:sz w:val="20"/>
          <w:szCs w:val="20"/>
        </w:rPr>
        <w:t>年</w:t>
      </w:r>
      <w:r>
        <w:rPr>
          <w:rFonts w:eastAsia="標楷體" w:ascii="標楷體" w:hAnsi="標楷體"/>
          <w:sz w:val="20"/>
          <w:szCs w:val="20"/>
        </w:rPr>
        <w:t>5</w:t>
      </w:r>
      <w:r>
        <w:rPr>
          <w:rFonts w:ascii="標楷體" w:hAnsi="標楷體" w:eastAsia="標楷體"/>
          <w:sz w:val="20"/>
          <w:szCs w:val="20"/>
        </w:rPr>
        <w:t>月</w:t>
      </w:r>
      <w:r>
        <w:rPr>
          <w:rFonts w:eastAsia="標楷體" w:ascii="標楷體" w:hAnsi="標楷體"/>
          <w:sz w:val="20"/>
          <w:szCs w:val="20"/>
        </w:rPr>
        <w:t>17</w:t>
      </w:r>
      <w:r>
        <w:rPr>
          <w:rFonts w:ascii="標楷體" w:hAnsi="標楷體" w:eastAsia="標楷體"/>
          <w:sz w:val="20"/>
          <w:szCs w:val="20"/>
        </w:rPr>
        <w:t>日南市文秘字第</w:t>
      </w:r>
      <w:r>
        <w:rPr>
          <w:rFonts w:eastAsia="標楷體" w:ascii="標楷體" w:hAnsi="標楷體"/>
          <w:sz w:val="20"/>
          <w:szCs w:val="20"/>
        </w:rPr>
        <w:t>1130714933</w:t>
      </w:r>
      <w:r>
        <w:rPr>
          <w:rFonts w:ascii="標楷體" w:hAnsi="標楷體" w:eastAsia="標楷體"/>
          <w:sz w:val="20"/>
          <w:szCs w:val="20"/>
        </w:rPr>
        <w:t>號函修正第四點，並自即日生效</w:t>
      </w:r>
    </w:p>
    <w:p>
      <w:pPr>
        <w:pStyle w:val="user"/>
        <w:tabs>
          <w:tab w:val="clear" w:pos="480"/>
        </w:tabs>
        <w:spacing w:lineRule="exact" w:line="420"/>
        <w:ind w:hanging="560" w:start="560"/>
        <w:jc w:val="both"/>
        <w:rPr>
          <w:rFonts w:ascii="標楷體" w:hAnsi="標楷體" w:eastAsia="標楷體"/>
          <w:sz w:val="28"/>
          <w:szCs w:val="28"/>
        </w:rPr>
      </w:pPr>
      <w:r>
        <w:rPr>
          <w:rFonts w:ascii="標楷體" w:hAnsi="標楷體" w:eastAsia="標楷體"/>
          <w:sz w:val="28"/>
          <w:szCs w:val="28"/>
        </w:rPr>
        <w:t>一、臺南市政府文化局（以下簡稱本局）為鼓勵優秀藝文團體及個人，積極從事創作與辦理各項藝術文化活動，拓展市民藝術欣賞層面，推廣城市藝文風氣，訂定本要點。</w:t>
      </w:r>
    </w:p>
    <w:p>
      <w:pPr>
        <w:pStyle w:val="user"/>
        <w:spacing w:lineRule="exact" w:line="420"/>
        <w:jc w:val="both"/>
        <w:rPr>
          <w:rFonts w:ascii="標楷體" w:hAnsi="標楷體" w:eastAsia="標楷體"/>
          <w:sz w:val="28"/>
          <w:szCs w:val="28"/>
        </w:rPr>
      </w:pPr>
      <w:r>
        <w:rPr>
          <w:rFonts w:ascii="標楷體" w:hAnsi="標楷體" w:eastAsia="標楷體"/>
          <w:sz w:val="28"/>
          <w:szCs w:val="28"/>
        </w:rPr>
        <w:t>二、補助項目：</w:t>
      </w:r>
    </w:p>
    <w:p>
      <w:pPr>
        <w:pStyle w:val="user"/>
        <w:spacing w:lineRule="exact" w:line="420"/>
        <w:jc w:val="both"/>
        <w:rPr>
          <w:rFonts w:ascii="標楷體" w:hAnsi="標楷體" w:eastAsia="標楷體"/>
          <w:sz w:val="28"/>
          <w:szCs w:val="28"/>
        </w:rPr>
      </w:pPr>
      <w:r>
        <w:rPr>
          <w:rFonts w:ascii="標楷體" w:hAnsi="標楷體" w:eastAsia="標楷體"/>
          <w:sz w:val="28"/>
          <w:szCs w:val="28"/>
        </w:rPr>
        <w:t>（一）關於傳統文化、節慶、民俗、技藝之保存、維護、傳承及宣揚。</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（二）關於表演藝術、視覺藝術或其他符合文創產業發展之創作、研究、出版、教學、展演及推廣活動等。</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 xml:space="preserve">（三）關於文學、歷史、化石、社區生態文化或其他與臺南文化相關之研究、出版、講座研習及推廣活動等。 </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（四）有助於本市文化發展相關之人才培育、國際交流活動等。</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（五）其他經主管機關核定之文化藝術事業項目。</w:t>
      </w:r>
    </w:p>
    <w:p>
      <w:pPr>
        <w:pStyle w:val="user"/>
        <w:spacing w:lineRule="exact" w:line="420"/>
        <w:jc w:val="both"/>
        <w:rPr>
          <w:rFonts w:ascii="標楷體" w:hAnsi="標楷體" w:eastAsia="標楷體"/>
          <w:sz w:val="28"/>
          <w:szCs w:val="28"/>
        </w:rPr>
      </w:pPr>
      <w:r>
        <w:rPr>
          <w:rFonts w:ascii="標楷體" w:hAnsi="標楷體" w:eastAsia="標楷體"/>
          <w:sz w:val="28"/>
          <w:szCs w:val="28"/>
        </w:rPr>
        <w:t>三、補助對象：</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（一）個人</w:t>
      </w:r>
      <w:r>
        <w:rPr>
          <w:rFonts w:eastAsia="標楷體" w:ascii="標楷體" w:hAnsi="標楷體"/>
          <w:sz w:val="28"/>
          <w:szCs w:val="28"/>
        </w:rPr>
        <w:t>:</w:t>
      </w:r>
      <w:r>
        <w:rPr>
          <w:rFonts w:ascii="標楷體" w:hAnsi="標楷體" w:eastAsia="標楷體"/>
          <w:sz w:val="28"/>
          <w:szCs w:val="28"/>
        </w:rPr>
        <w:t>現設籍本市者（應檢附身分證正反面影本）或工作地點在本市者（應檢附個人在職證明）。</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（二）團體、法人</w:t>
      </w:r>
      <w:r>
        <w:rPr>
          <w:rFonts w:eastAsia="標楷體" w:ascii="標楷體" w:hAnsi="標楷體"/>
          <w:sz w:val="28"/>
          <w:szCs w:val="28"/>
        </w:rPr>
        <w:t>:</w:t>
      </w:r>
      <w:r>
        <w:rPr>
          <w:rFonts w:ascii="標楷體" w:hAnsi="標楷體" w:eastAsia="標楷體"/>
          <w:sz w:val="28"/>
          <w:szCs w:val="28"/>
        </w:rPr>
        <w:t>本市立案團體、法人（應檢附立案書影本）。</w:t>
      </w:r>
    </w:p>
    <w:p>
      <w:pPr>
        <w:pStyle w:val="user"/>
        <w:tabs>
          <w:tab w:val="clear" w:pos="480"/>
        </w:tabs>
        <w:overflowPunct w:val="false"/>
        <w:autoSpaceDE w:val="false"/>
        <w:snapToGrid w:val="false"/>
        <w:spacing w:lineRule="exact" w:line="420"/>
        <w:ind w:hanging="560" w:start="560"/>
        <w:jc w:val="both"/>
        <w:rPr>
          <w:rFonts w:ascii="標楷體" w:hAnsi="標楷體" w:eastAsia="標楷體"/>
          <w:sz w:val="28"/>
          <w:szCs w:val="28"/>
        </w:rPr>
      </w:pPr>
      <w:r>
        <w:rPr>
          <w:rFonts w:ascii="標楷體" w:hAnsi="標楷體" w:eastAsia="標楷體"/>
          <w:sz w:val="28"/>
          <w:szCs w:val="28"/>
        </w:rPr>
        <w:t>四、補助標準：對同一民間團體及個人之補（捐）助累計金額，每年度以不超過新臺幣二萬五千元為原則。但對下列民間團體之補（捐）助不在此限：</w:t>
      </w:r>
    </w:p>
    <w:p>
      <w:pPr>
        <w:pStyle w:val="user"/>
        <w:tabs>
          <w:tab w:val="clear" w:pos="480"/>
        </w:tabs>
        <w:overflowPunct w:val="false"/>
        <w:autoSpaceDE w:val="false"/>
        <w:snapToGrid w:val="false"/>
        <w:spacing w:lineRule="exact" w:line="420"/>
        <w:ind w:hanging="560" w:start="560"/>
        <w:jc w:val="both"/>
        <w:rPr>
          <w:rFonts w:ascii="標楷體" w:hAnsi="標楷體" w:eastAsia="標楷體"/>
          <w:sz w:val="28"/>
          <w:szCs w:val="28"/>
        </w:rPr>
      </w:pPr>
      <w:r>
        <w:rPr>
          <w:rFonts w:ascii="標楷體" w:hAnsi="標楷體" w:eastAsia="標楷體"/>
          <w:sz w:val="28"/>
          <w:szCs w:val="28"/>
        </w:rPr>
        <w:t>（一）依法令規定接受本局委託、協助或代為辦理其應辦業務之民間團體。</w:t>
      </w:r>
    </w:p>
    <w:p>
      <w:pPr>
        <w:pStyle w:val="user"/>
        <w:tabs>
          <w:tab w:val="clear" w:pos="480"/>
        </w:tabs>
        <w:overflowPunct w:val="false"/>
        <w:autoSpaceDE w:val="false"/>
        <w:snapToGrid w:val="false"/>
        <w:spacing w:lineRule="exact" w:line="420"/>
        <w:ind w:hanging="560" w:start="560"/>
        <w:jc w:val="both"/>
        <w:rPr>
          <w:rFonts w:ascii="標楷體" w:hAnsi="標楷體" w:eastAsia="標楷體"/>
          <w:sz w:val="28"/>
          <w:szCs w:val="28"/>
        </w:rPr>
      </w:pPr>
      <w:r>
        <w:rPr>
          <w:rFonts w:ascii="標楷體" w:hAnsi="標楷體" w:eastAsia="標楷體"/>
          <w:sz w:val="28"/>
          <w:szCs w:val="28"/>
        </w:rPr>
        <w:t>（二）申請補助之計畫具公益性質之教育、文化、社會福利團體。</w:t>
      </w:r>
    </w:p>
    <w:p>
      <w:pPr>
        <w:pStyle w:val="user"/>
        <w:tabs>
          <w:tab w:val="clear" w:pos="480"/>
        </w:tabs>
        <w:overflowPunct w:val="false"/>
        <w:autoSpaceDE w:val="false"/>
        <w:snapToGrid w:val="false"/>
        <w:spacing w:lineRule="exact" w:line="420"/>
        <w:ind w:hanging="560" w:start="560"/>
        <w:jc w:val="both"/>
        <w:rPr>
          <w:rFonts w:ascii="標楷體" w:hAnsi="標楷體" w:eastAsia="標楷體"/>
          <w:sz w:val="28"/>
          <w:szCs w:val="28"/>
        </w:rPr>
      </w:pPr>
      <w:r>
        <w:rPr>
          <w:rFonts w:ascii="標楷體" w:hAnsi="標楷體" w:eastAsia="標楷體"/>
          <w:sz w:val="28"/>
          <w:szCs w:val="28"/>
        </w:rPr>
        <w:t>（三）配合中央政府各機關補助計畫所補助之民間團體。</w:t>
      </w:r>
    </w:p>
    <w:p>
      <w:pPr>
        <w:pStyle w:val="user"/>
        <w:spacing w:lineRule="exact" w:line="420"/>
        <w:jc w:val="both"/>
        <w:rPr>
          <w:rFonts w:ascii="標楷體" w:hAnsi="標楷體" w:eastAsia="標楷體"/>
          <w:sz w:val="28"/>
          <w:szCs w:val="28"/>
        </w:rPr>
      </w:pPr>
      <w:r>
        <w:rPr>
          <w:rFonts w:ascii="標楷體" w:hAnsi="標楷體" w:eastAsia="標楷體"/>
          <w:sz w:val="28"/>
          <w:szCs w:val="28"/>
        </w:rPr>
        <w:t>五、申請補助程序與應備文件：</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（一）民間團體申請經費補助應檢附詳實之實施計畫及經費概算明細表，備具申請函文提出申請。</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（二）申請時間：至遲應於活動辦理前十日函文申請（以文到日為準</w:t>
      </w:r>
      <w:r>
        <w:rPr>
          <w:rFonts w:eastAsia="標楷體" w:ascii="標楷體" w:hAnsi="標楷體"/>
          <w:sz w:val="28"/>
          <w:szCs w:val="28"/>
        </w:rPr>
        <w:t>)</w:t>
      </w:r>
      <w:r>
        <w:rPr>
          <w:rFonts w:ascii="標楷體" w:hAnsi="標楷體" w:eastAsia="標楷體"/>
          <w:sz w:val="28"/>
          <w:szCs w:val="28"/>
        </w:rPr>
        <w:t>，逾時者得不予受理。</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（三）申請計畫內容：應包含目的、主協辦單位、時間（期程）、地點、參加對象及人數、執行方式、效益、收費標準及項目、經費概算及經費來源等項目。</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（四）本局受理申請案件之所有資料及附件，不論是否核予補助，均不予退還。</w:t>
      </w:r>
    </w:p>
    <w:p>
      <w:pPr>
        <w:pStyle w:val="user"/>
        <w:spacing w:lineRule="exact" w:line="420"/>
        <w:jc w:val="both"/>
        <w:rPr>
          <w:rFonts w:ascii="標楷體" w:hAnsi="標楷體" w:eastAsia="標楷體"/>
          <w:sz w:val="28"/>
          <w:szCs w:val="28"/>
        </w:rPr>
      </w:pPr>
      <w:r>
        <w:rPr>
          <w:rFonts w:ascii="標楷體" w:hAnsi="標楷體" w:eastAsia="標楷體"/>
          <w:sz w:val="28"/>
          <w:szCs w:val="28"/>
        </w:rPr>
        <w:t>六、申請補助審查標準與作業程序：</w:t>
      </w:r>
    </w:p>
    <w:p>
      <w:pPr>
        <w:pStyle w:val="user"/>
        <w:tabs>
          <w:tab w:val="clear" w:pos="480"/>
        </w:tabs>
        <w:spacing w:lineRule="exact" w:line="420"/>
        <w:ind w:start="566"/>
        <w:jc w:val="both"/>
        <w:rPr>
          <w:rFonts w:ascii="標楷體" w:hAnsi="標楷體" w:eastAsia="標楷體"/>
          <w:sz w:val="28"/>
          <w:szCs w:val="28"/>
        </w:rPr>
      </w:pPr>
      <w:r>
        <w:rPr>
          <w:rFonts w:ascii="標楷體" w:hAnsi="標楷體" w:eastAsia="標楷體"/>
          <w:sz w:val="28"/>
          <w:szCs w:val="28"/>
        </w:rPr>
        <w:t>本局部分業務已訂定適用規範，依其規範辦理，未規範部分依本要點辦理。</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（一）本局受理申請補助案件後，審核簽註有無超過標準、與計畫無關或不符規定項目。</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簽註擬補助之預算科目、金額、原始憑證核銷方式、採購文件保存之場所及適用政府採購法之範圍；其補助金額三萬元以下者，由本局核定辦理外，餘本局須檢附當年度核定對民間團體及個人補（捐）助支用情形一覽表並簽報本府核定辦理；經核定不予補助者，應將函復公文副知本府市長室及秘書長室。</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（三）本局應將核定結果併同前項內容及本要點必要通知之事項，另以書面通知。不符本要點而不予補助者，其情形得補正者，應一次敘明其具體補正事項。</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（四）若同一案件向二個以上機關提出申請補助者，應明列全部經費內容及向各機關申請補助之項目及金額。如有隱匿不實或造假情事，本局得撤銷該補助案件，並收回已撥付款項。</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（五）同一案件向本局提出申請補助，以一次為限。</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（六）受補助單位接受本局及其他政府機關補助，如涉及採購事項，其動支之補助金額占採購金額半數以上且達新臺幣一百萬元以上者，受補助對象應依政府採購法辦理採購，並接受政府機關之監督。</w:t>
      </w:r>
    </w:p>
    <w:p>
      <w:pPr>
        <w:pStyle w:val="user"/>
        <w:spacing w:lineRule="exact" w:line="420"/>
        <w:jc w:val="both"/>
        <w:rPr>
          <w:rFonts w:ascii="標楷體" w:hAnsi="標楷體" w:eastAsia="標楷體"/>
          <w:sz w:val="28"/>
          <w:szCs w:val="28"/>
        </w:rPr>
      </w:pPr>
      <w:r>
        <w:rPr>
          <w:rFonts w:ascii="標楷體" w:hAnsi="標楷體" w:eastAsia="標楷體"/>
          <w:sz w:val="28"/>
          <w:szCs w:val="28"/>
        </w:rPr>
        <w:t>七、補助經費之用途範圍：</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（一）餐敘、獎金、紀念品及服裝類不予補助。但情形特殊，並專案簽奉核准者，不在此限。</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（二）補助經費應按計畫專款專用，如有特殊情形須變更計畫者，除因不可抗力之情事者外，應先函報本局核准後方可辦理。</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（三）年度結束時，若已逾受補助計畫舉辦日且尚未執行者，應即停止，並將已核撥之補助經費繳回本局。</w:t>
      </w:r>
    </w:p>
    <w:p>
      <w:pPr>
        <w:pStyle w:val="user"/>
        <w:tabs>
          <w:tab w:val="clear" w:pos="480"/>
        </w:tabs>
        <w:overflowPunct w:val="false"/>
        <w:autoSpaceDE w:val="false"/>
        <w:snapToGrid w:val="false"/>
        <w:spacing w:lineRule="exact" w:line="420"/>
        <w:ind w:hanging="560" w:start="560"/>
        <w:jc w:val="both"/>
        <w:rPr>
          <w:rFonts w:ascii="標楷體" w:hAnsi="標楷體" w:eastAsia="標楷體"/>
          <w:sz w:val="28"/>
          <w:szCs w:val="28"/>
        </w:rPr>
      </w:pPr>
      <w:r>
        <w:rPr>
          <w:rFonts w:ascii="標楷體" w:hAnsi="標楷體" w:eastAsia="標楷體"/>
          <w:sz w:val="28"/>
          <w:szCs w:val="28"/>
        </w:rPr>
        <w:t>八、補助經費請撥、核銷程序及應備文件：</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w:t>
      </w:r>
      <w:r>
        <w:rPr>
          <w:rStyle w:val="Style14"/>
          <w:rFonts w:ascii="標楷體" w:hAnsi="標楷體" w:cs="新細明體" w:eastAsia="標楷體"/>
          <w:kern w:val="0"/>
          <w:sz w:val="28"/>
          <w:szCs w:val="28"/>
        </w:rPr>
        <w:t>一）</w:t>
      </w:r>
      <w:r>
        <w:rPr>
          <w:rStyle w:val="Style14"/>
          <w:rFonts w:ascii="標楷體" w:hAnsi="標楷體" w:eastAsia="標楷體"/>
          <w:sz w:val="28"/>
          <w:szCs w:val="28"/>
        </w:rPr>
        <w:t>受補助對象應於計畫執行完竣後一個月內，檢附收支清單、領據、成果資料、核准公文、原提報計畫及其他相關資料（包括活動照片）函送本局備查或核銷。除應詳列支出用途外，並應列明全部實支經費總額及各單位實際補助金額。但計畫執行完畢時間為十二月者，受補助對象應於十二月十五日前辦理核銷作業。特殊情形經本局核定者，不在此限。</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（二</w:t>
      </w:r>
      <w:r>
        <w:rPr>
          <w:rStyle w:val="Style14"/>
          <w:rFonts w:ascii="標楷體" w:hAnsi="標楷體" w:cs="新細明體" w:eastAsia="標楷體"/>
          <w:kern w:val="0"/>
          <w:sz w:val="28"/>
          <w:szCs w:val="28"/>
        </w:rPr>
        <w:t>）補助經費所支付項目，有不合規定之支出，或不符原核定之目的及用途，經本局審核結果需予以剔除時，受補助對象得於文到十五個日曆天內提出具體理由申復，未依限申復或申復未獲同意者，該支付項目應不予核銷。</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（三</w:t>
      </w:r>
      <w:r>
        <w:rPr>
          <w:rStyle w:val="Style14"/>
          <w:rFonts w:ascii="標楷體" w:hAnsi="標楷體" w:cs="新細明體" w:eastAsia="標楷體"/>
          <w:kern w:val="0"/>
          <w:sz w:val="28"/>
          <w:szCs w:val="28"/>
        </w:rPr>
        <w:t>）</w:t>
      </w:r>
      <w:r>
        <w:rPr>
          <w:rStyle w:val="Style14"/>
          <w:rFonts w:ascii="標楷體" w:hAnsi="標楷體" w:eastAsia="標楷體"/>
          <w:sz w:val="28"/>
          <w:szCs w:val="28"/>
        </w:rPr>
        <w:t>受補助經費於補助案件結案時尚有結餘款者，應按補助比例繳回；補助案件執行後，如實際支出經費少於原預估經費時，需按原補助比例重新計算補助金額，其賸餘款亦應按補助比例繳回。</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（四</w:t>
      </w:r>
      <w:r>
        <w:rPr>
          <w:rStyle w:val="Style14"/>
          <w:rFonts w:ascii="標楷體" w:hAnsi="標楷體" w:cs="新細明體" w:eastAsia="標楷體"/>
          <w:kern w:val="0"/>
          <w:sz w:val="28"/>
          <w:szCs w:val="28"/>
        </w:rPr>
        <w:t>）受補助經費產生之利息或其他衍生之收入應予繳回。</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（五</w:t>
      </w:r>
      <w:r>
        <w:rPr>
          <w:rStyle w:val="Style14"/>
          <w:rFonts w:ascii="標楷體" w:hAnsi="標楷體" w:cs="新細明體" w:eastAsia="標楷體"/>
          <w:kern w:val="0"/>
          <w:sz w:val="28"/>
          <w:szCs w:val="28"/>
        </w:rPr>
        <w:t>）民間團體對相同內容申請案件補助經費未核銷前，不得申請新案。</w:t>
      </w:r>
    </w:p>
    <w:p>
      <w:pPr>
        <w:pStyle w:val="user"/>
        <w:tabs>
          <w:tab w:val="clear" w:pos="480"/>
          <w:tab w:val="center" w:pos="1572" w:leader="none"/>
        </w:tabs>
        <w:overflowPunct w:val="false"/>
        <w:autoSpaceDE w:val="false"/>
        <w:snapToGrid w:val="false"/>
        <w:spacing w:lineRule="exact" w:line="400"/>
        <w:ind w:hanging="840" w:start="840"/>
        <w:jc w:val="both"/>
        <w:rPr/>
      </w:pPr>
      <w:r>
        <w:rPr>
          <w:rStyle w:val="Style14"/>
          <w:rFonts w:ascii="標楷體" w:hAnsi="標楷體" w:eastAsia="標楷體"/>
          <w:sz w:val="28"/>
          <w:szCs w:val="28"/>
        </w:rPr>
        <w:t>（六</w:t>
      </w:r>
      <w:r>
        <w:rPr>
          <w:rStyle w:val="Style14"/>
          <w:rFonts w:ascii="標楷體" w:hAnsi="標楷體" w:cs="新細明體" w:eastAsia="標楷體"/>
          <w:kern w:val="0"/>
          <w:sz w:val="28"/>
          <w:szCs w:val="28"/>
        </w:rPr>
        <w:t>）本局得衡酌補捐助事項性質等，就下列方式擇一辦理結報作業：</w:t>
      </w:r>
    </w:p>
    <w:p>
      <w:pPr>
        <w:pStyle w:val="user"/>
        <w:tabs>
          <w:tab w:val="clear" w:pos="480"/>
        </w:tabs>
        <w:overflowPunct w:val="false"/>
        <w:autoSpaceDE w:val="false"/>
        <w:snapToGrid w:val="false"/>
        <w:spacing w:lineRule="exact" w:line="420"/>
        <w:ind w:hanging="560" w:start="1395"/>
        <w:jc w:val="both"/>
        <w:rPr>
          <w:rFonts w:ascii="標楷體" w:hAnsi="標楷體" w:eastAsia="標楷體"/>
          <w:sz w:val="28"/>
          <w:szCs w:val="28"/>
        </w:rPr>
      </w:pPr>
      <w:r>
        <w:rPr>
          <w:rFonts w:ascii="標楷體" w:hAnsi="標楷體" w:eastAsia="標楷體"/>
          <w:sz w:val="28"/>
          <w:szCs w:val="28"/>
        </w:rPr>
        <w:t>１．受補助對象檢附收支清單及各項支用單據結報；本局於審核後，得將支用單據退還受補助對象。</w:t>
      </w:r>
    </w:p>
    <w:p>
      <w:pPr>
        <w:pStyle w:val="user"/>
        <w:tabs>
          <w:tab w:val="clear" w:pos="480"/>
        </w:tabs>
        <w:overflowPunct w:val="false"/>
        <w:autoSpaceDE w:val="false"/>
        <w:snapToGrid w:val="false"/>
        <w:spacing w:lineRule="exact" w:line="420"/>
        <w:ind w:hanging="560" w:start="1395"/>
        <w:jc w:val="both"/>
        <w:rPr>
          <w:rFonts w:ascii="標楷體" w:hAnsi="標楷體" w:eastAsia="標楷體"/>
          <w:sz w:val="28"/>
          <w:szCs w:val="28"/>
        </w:rPr>
      </w:pPr>
      <w:r>
        <w:rPr>
          <w:rFonts w:ascii="標楷體" w:hAnsi="標楷體" w:eastAsia="標楷體"/>
          <w:sz w:val="28"/>
          <w:szCs w:val="28"/>
        </w:rPr>
        <w:t>２．受補助對象檢附收支清單結報，並自行保存各項支用單據，供本局事後審核作成相關紀錄。</w:t>
      </w:r>
    </w:p>
    <w:p>
      <w:pPr>
        <w:pStyle w:val="user"/>
        <w:tabs>
          <w:tab w:val="clear" w:pos="480"/>
        </w:tabs>
        <w:overflowPunct w:val="false"/>
        <w:autoSpaceDE w:val="false"/>
        <w:snapToGrid w:val="false"/>
        <w:spacing w:lineRule="exact" w:line="420"/>
        <w:ind w:hanging="560" w:start="1395"/>
        <w:jc w:val="both"/>
        <w:rPr>
          <w:rFonts w:ascii="標楷體" w:hAnsi="標楷體" w:eastAsia="標楷體"/>
          <w:sz w:val="28"/>
          <w:szCs w:val="28"/>
        </w:rPr>
      </w:pPr>
      <w:r>
        <w:rPr>
          <w:rFonts w:ascii="標楷體" w:hAnsi="標楷體" w:eastAsia="標楷體"/>
          <w:sz w:val="28"/>
          <w:szCs w:val="28"/>
        </w:rPr>
        <w:t>３．經本局列明依前二目規定結報不符效益之原因者，受補助對象得依本局規定應檢附之佐證資料結報。</w:t>
      </w:r>
    </w:p>
    <w:p>
      <w:pPr>
        <w:pStyle w:val="user"/>
        <w:tabs>
          <w:tab w:val="clear" w:pos="480"/>
          <w:tab w:val="center" w:pos="1572" w:leader="none"/>
        </w:tabs>
        <w:overflowPunct w:val="false"/>
        <w:autoSpaceDE w:val="false"/>
        <w:snapToGrid w:val="false"/>
        <w:spacing w:lineRule="exact" w:line="400"/>
        <w:ind w:hanging="840" w:start="840"/>
        <w:jc w:val="both"/>
        <w:rPr>
          <w:rFonts w:ascii="標楷體" w:hAnsi="標楷體" w:eastAsia="標楷體"/>
          <w:sz w:val="28"/>
          <w:szCs w:val="28"/>
        </w:rPr>
      </w:pPr>
      <w:r>
        <w:rPr>
          <w:rFonts w:ascii="標楷體" w:hAnsi="標楷體" w:eastAsia="標楷體"/>
          <w:sz w:val="28"/>
          <w:szCs w:val="28"/>
        </w:rPr>
        <w:t>（七）受補助對象對於經依前款第一目規定退還及依第二目規定自行保存之各項支用單據，應依有關規定妥善保存。本局如發現受補助對象未依規定妥善保存各項支用單據，致有毀損、滅失等情事，得依情節輕重對該補助案件或受補助對象酌減嗣後補助款或停止補助一年至五年。</w:t>
      </w:r>
    </w:p>
    <w:p>
      <w:pPr>
        <w:pStyle w:val="user"/>
        <w:tabs>
          <w:tab w:val="clear" w:pos="480"/>
        </w:tabs>
        <w:spacing w:lineRule="exact" w:line="420"/>
        <w:ind w:hanging="848" w:start="848"/>
        <w:jc w:val="both"/>
        <w:rPr>
          <w:rFonts w:ascii="標楷體" w:hAnsi="標楷體" w:eastAsia="標楷體"/>
          <w:sz w:val="28"/>
          <w:szCs w:val="28"/>
        </w:rPr>
      </w:pPr>
      <w:r>
        <w:rPr>
          <w:rFonts w:ascii="標楷體" w:hAnsi="標楷體" w:eastAsia="標楷體"/>
          <w:sz w:val="28"/>
          <w:szCs w:val="28"/>
        </w:rPr>
        <w:t>（八）受補助對象申請款項時，應本誠信原則對依第六款規定提出資料內容之支付事實及真實性負責，如有不實，應負相關責任。</w:t>
      </w:r>
    </w:p>
    <w:p>
      <w:pPr>
        <w:pStyle w:val="user"/>
        <w:spacing w:lineRule="exact" w:line="420"/>
        <w:jc w:val="both"/>
        <w:rPr>
          <w:rFonts w:ascii="標楷體" w:hAnsi="標楷體" w:eastAsia="標楷體"/>
          <w:sz w:val="28"/>
          <w:szCs w:val="28"/>
        </w:rPr>
      </w:pPr>
      <w:r>
        <w:rPr>
          <w:rFonts w:ascii="標楷體" w:hAnsi="標楷體" w:eastAsia="標楷體"/>
          <w:sz w:val="28"/>
          <w:szCs w:val="28"/>
        </w:rPr>
        <w:t>九、督導及考核：</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（一）經核定之補助案，應依計畫內容確實執行，本局得視需要，於計畫辦理期間，請相關單位或學者專家提供協助或前往訪視，進行考評。</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（二）補助款應專款專用，不得任意變更用途。核定之補助案，若計畫變更或因故無法履行，應即函報本局核准。</w:t>
      </w:r>
    </w:p>
    <w:p>
      <w:pPr>
        <w:pStyle w:val="user"/>
        <w:tabs>
          <w:tab w:val="clear" w:pos="480"/>
        </w:tabs>
        <w:spacing w:lineRule="exact" w:line="420"/>
        <w:ind w:hanging="840" w:start="840"/>
        <w:jc w:val="both"/>
        <w:rPr>
          <w:rFonts w:ascii="標楷體" w:hAnsi="標楷體" w:eastAsia="標楷體"/>
          <w:sz w:val="28"/>
          <w:szCs w:val="28"/>
        </w:rPr>
      </w:pPr>
      <w:r>
        <w:rPr>
          <w:rFonts w:ascii="標楷體" w:hAnsi="標楷體" w:eastAsia="標楷體"/>
          <w:sz w:val="28"/>
          <w:szCs w:val="28"/>
        </w:rPr>
        <w:t>（三）受補助單位經發現未依補助用途支用，有虛報、浮報、違反本要點或其他法令規定者，本局得視情節輕重追回部分或全部補助款項，並移送有關單位追究責任，且於一至五年內不受理其申請案。</w:t>
      </w:r>
    </w:p>
    <w:p>
      <w:pPr>
        <w:pStyle w:val="user"/>
        <w:tabs>
          <w:tab w:val="clear" w:pos="480"/>
        </w:tabs>
        <w:spacing w:lineRule="exact" w:line="420"/>
        <w:ind w:hanging="566" w:start="566"/>
        <w:jc w:val="both"/>
        <w:rPr>
          <w:rFonts w:ascii="標楷體" w:hAnsi="標楷體" w:eastAsia="標楷體"/>
          <w:sz w:val="28"/>
          <w:szCs w:val="28"/>
        </w:rPr>
      </w:pPr>
      <w:r>
        <w:rPr>
          <w:rFonts w:ascii="標楷體" w:hAnsi="標楷體" w:eastAsia="標楷體"/>
          <w:sz w:val="28"/>
          <w:szCs w:val="28"/>
        </w:rPr>
        <w:t>十、其他未盡事宜，依中央政府各機關對民間團體及個人補（捐）助預算執行應注意事項及臺南市政府對民間團體及個人補捐助預算執行應注意事項規定辦理。</w:t>
      </w:r>
    </w:p>
    <w:p>
      <w:pPr>
        <w:pStyle w:val="user"/>
        <w:tabs>
          <w:tab w:val="clear" w:pos="480"/>
        </w:tabs>
        <w:spacing w:lineRule="exact" w:line="420"/>
        <w:ind w:hanging="566" w:start="566"/>
        <w:jc w:val="both"/>
        <w:rPr>
          <w:rFonts w:ascii="標楷體" w:hAnsi="標楷體" w:eastAsia="標楷體"/>
          <w:sz w:val="28"/>
          <w:szCs w:val="28"/>
        </w:rPr>
      </w:pPr>
      <w:r>
        <w:rPr>
          <w:rFonts w:eastAsia="標楷體" w:ascii="標楷體" w:hAnsi="標楷體"/>
          <w:sz w:val="28"/>
          <w:szCs w:val="28"/>
        </w:rPr>
      </w:r>
    </w:p>
    <w:sectPr>
      <w:type w:val="nextPage"/>
      <w:pgSz w:w="11906" w:h="16838"/>
      <w:pgMar w:left="1134" w:right="1134" w:gutter="0" w:header="0" w:top="1134" w:footer="0" w:bottom="1134"/>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sөũ">
    <w:charset w:val="88"/>
    <w:family w:val="roman"/>
    <w:pitch w:val="default"/>
  </w:font>
  <w:font w:name="新細明體">
    <w:charset w:val="88"/>
    <w:family w:val="roman"/>
    <w:pitch w:val="variable"/>
  </w:font>
  <w:font w:name="標楷體">
    <w:charset w:val="88"/>
    <w:family w:val="script"/>
    <w:pitch w:val="fixed"/>
  </w:font>
</w:fonts>
</file>

<file path=word/settings.xml><?xml version="1.0" encoding="utf-8"?>
<w:settings xmlns:w="http://schemas.openxmlformats.org/wordprocessingml/2006/main">
  <w:zoom w:percent="110"/>
  <w:defaultTabStop w:val="48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star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強調粗體"/>
    <w:qFormat/>
    <w:rPr>
      <w:b/>
      <w:bCs/>
    </w:rPr>
  </w:style>
  <w:style w:type="character" w:styleId="Style16">
    <w:name w:val="頁首 字元"/>
    <w:qFormat/>
    <w:rPr>
      <w:kern w:val="2"/>
    </w:rPr>
  </w:style>
  <w:style w:type="character" w:styleId="Style17">
    <w:name w:val="頁尾 字元"/>
    <w:qFormat/>
    <w:rPr>
      <w:kern w:val="2"/>
    </w:rPr>
  </w:style>
  <w:style w:type="character" w:styleId="Style18">
    <w:name w:val="無間距 字元"/>
    <w:qFormat/>
    <w:rPr>
      <w:sz w:val="22"/>
      <w:szCs w:val="22"/>
      <w:lang w:val="en-US" w:eastAsia="zh-TW" w:bidi="ar-SA"/>
    </w:rPr>
  </w:style>
  <w:style w:type="character" w:styleId="Style19">
    <w:name w:val="註解方塊文字 字元"/>
    <w:qFormat/>
    <w:rPr>
      <w:rFonts w:ascii="Cambria" w:hAnsi="Cambria" w:eastAsia="新細明體" w:cs="Times New Roman"/>
      <w:kern w:val="2"/>
      <w:sz w:val="18"/>
      <w:szCs w:val="18"/>
    </w:rPr>
  </w:style>
  <w:style w:type="character" w:styleId="2">
    <w:name w:val="本文縮排 2 字元"/>
    <w:qFormat/>
    <w:rPr>
      <w:rFonts w:ascii="Times New Roman" w:hAnsi="Times New Roman" w:eastAsia="標楷體"/>
      <w:kern w:val="2"/>
      <w:sz w:val="28"/>
    </w:rPr>
  </w:style>
  <w:style w:type="character" w:styleId="3">
    <w:name w:val="本文縮排 3 字元"/>
    <w:qFormat/>
    <w:rPr>
      <w:kern w:val="2"/>
      <w:sz w:val="16"/>
      <w:szCs w:val="16"/>
    </w:rPr>
  </w:style>
  <w:style w:type="character" w:styleId="dialogtext1">
    <w:name w:val="dialog_text1"/>
    <w:qFormat/>
    <w:rPr>
      <w:rFonts w:ascii="sөũ" w:hAnsi="sөũ"/>
      <w:color w:val="000000"/>
      <w:sz w:val="25"/>
      <w:szCs w:val="25"/>
    </w:rPr>
  </w:style>
  <w:style w:type="character" w:styleId="WWCharLFO1LVL1">
    <w:name w:val="WW_CharLFO1LVL1"/>
    <w:qFormat/>
    <w:rPr>
      <w:lang w:val="en-US"/>
    </w:rPr>
  </w:style>
  <w:style w:type="character" w:styleId="WWCharLFO2LVL1">
    <w:name w:val="WW_CharLFO2LVL1"/>
    <w:qFormat/>
    <w:rPr>
      <w:lang w:val="en-US"/>
    </w:rPr>
  </w:style>
  <w:style w:type="character" w:styleId="WWCharLFO3LVL1">
    <w:name w:val="WW_CharLFO3LVL1"/>
    <w:qFormat/>
    <w:rPr>
      <w:lang w:val="en-US"/>
    </w:rPr>
  </w:style>
  <w:style w:type="character" w:styleId="WWCharLFO7LVL1">
    <w:name w:val="WW_CharLFO7LVL1"/>
    <w:qFormat/>
    <w:rPr>
      <w:rFonts w:cs="Arial"/>
      <w:color w:val="auto"/>
    </w:rPr>
  </w:style>
  <w:style w:type="character" w:styleId="WWCharLFO8LVL1">
    <w:name w:val="WW_CharLFO8LVL1"/>
    <w:qFormat/>
    <w:rPr>
      <w:rFonts w:cs="Arial"/>
      <w:color w:val="auto"/>
    </w:rPr>
  </w:style>
  <w:style w:type="paragraph" w:styleId="user">
    <w:name w:val="內文 (user)"/>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Web">
    <w:name w:val="內文 (Web)"/>
    <w:basedOn w:val="user"/>
    <w:qFormat/>
    <w:pPr>
      <w:widowControl/>
      <w:suppressAutoHyphens w:val="true"/>
    </w:pPr>
    <w:rPr>
      <w:rFonts w:ascii="新細明體" w:hAnsi="新細明體" w:cs="新細明體"/>
      <w:kern w:val="0"/>
      <w:szCs w:val="24"/>
    </w:rPr>
  </w:style>
  <w:style w:type="paragraph" w:styleId="user1">
    <w:name w:val="頁首 (user)"/>
    <w:basedOn w:val="user"/>
    <w:qFormat/>
    <w:pPr>
      <w:tabs>
        <w:tab w:val="clear" w:pos="480"/>
        <w:tab w:val="center" w:pos="4153" w:leader="none"/>
        <w:tab w:val="right" w:pos="8306" w:leader="none"/>
      </w:tabs>
      <w:suppressAutoHyphens w:val="true"/>
      <w:snapToGrid w:val="false"/>
    </w:pPr>
    <w:rPr>
      <w:sz w:val="20"/>
      <w:szCs w:val="20"/>
    </w:rPr>
  </w:style>
  <w:style w:type="paragraph" w:styleId="user2">
    <w:name w:val="頁尾 (user)"/>
    <w:basedOn w:val="user"/>
    <w:qFormat/>
    <w:pPr>
      <w:tabs>
        <w:tab w:val="clear" w:pos="480"/>
        <w:tab w:val="center" w:pos="4153" w:leader="none"/>
        <w:tab w:val="right" w:pos="8306" w:leader="none"/>
      </w:tabs>
      <w:suppressAutoHyphens w:val="true"/>
      <w:snapToGrid w:val="false"/>
    </w:pPr>
    <w:rPr>
      <w:sz w:val="20"/>
      <w:szCs w:val="20"/>
    </w:rPr>
  </w:style>
  <w:style w:type="paragraph" w:styleId="Style20">
    <w:name w:val="無間距"/>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zh-TW" w:bidi="ar-SA"/>
    </w:rPr>
  </w:style>
  <w:style w:type="paragraph" w:styleId="Style21">
    <w:name w:val="註解方塊文字"/>
    <w:basedOn w:val="user"/>
    <w:qFormat/>
    <w:pPr>
      <w:suppressAutoHyphens w:val="true"/>
    </w:pPr>
    <w:rPr>
      <w:rFonts w:ascii="Cambria" w:hAnsi="Cambria"/>
      <w:sz w:val="18"/>
      <w:szCs w:val="18"/>
    </w:rPr>
  </w:style>
  <w:style w:type="paragraph" w:styleId="21">
    <w:name w:val="本文縮排 2"/>
    <w:basedOn w:val="user"/>
    <w:qFormat/>
    <w:pPr>
      <w:tabs>
        <w:tab w:val="clear" w:pos="480"/>
      </w:tabs>
      <w:suppressAutoHyphens w:val="true"/>
      <w:spacing w:lineRule="exact" w:line="420"/>
      <w:ind w:hanging="600" w:start="600"/>
    </w:pPr>
    <w:rPr>
      <w:rFonts w:ascii="Times New Roman" w:hAnsi="Times New Roman" w:eastAsia="標楷體"/>
      <w:sz w:val="28"/>
      <w:szCs w:val="20"/>
    </w:rPr>
  </w:style>
  <w:style w:type="paragraph" w:styleId="31">
    <w:name w:val="本文縮排 3"/>
    <w:basedOn w:val="user"/>
    <w:qFormat/>
    <w:pPr>
      <w:tabs>
        <w:tab w:val="clear" w:pos="480"/>
      </w:tabs>
      <w:suppressAutoHyphens w:val="true"/>
      <w:spacing w:before="0" w:after="120"/>
      <w:ind w:start="480"/>
    </w:pPr>
    <w:rPr>
      <w:sz w:val="16"/>
      <w:szCs w:val="16"/>
    </w:rPr>
  </w:style>
  <w:style w:type="paragraph" w:styleId="Style22">
    <w:name w:val="凸１"/>
    <w:basedOn w:val="user"/>
    <w:qFormat/>
    <w:pPr>
      <w:tabs>
        <w:tab w:val="clear" w:pos="480"/>
      </w:tabs>
      <w:suppressAutoHyphens w:val="true"/>
      <w:spacing w:lineRule="exact" w:line="360"/>
      <w:ind w:hanging="567" w:start="567"/>
      <w:jc w:val="both"/>
    </w:pPr>
    <w:rPr>
      <w:rFonts w:ascii="Times New Roman" w:hAnsi="Times New Roman" w:eastAsia="標楷體"/>
      <w:sz w:val="2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LibreOffice/24.8.5.2$Windows_X86_64 LibreOffice_project/fddf2685c70b461e7832239a0162a77216259f22</Application>
  <AppVersion>15.0000</AppVersion>
  <Pages>4</Pages>
  <Words>2495</Words>
  <Characters>2530</Characters>
  <CharactersWithSpaces>2531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2024-05-20T05:53:00Z</dcterms:created>
  <dc:creator>Catherine</dc:creator>
  <dc:description/>
  <dc:language>zh-TW</dc:language>
  <cp:lastModifiedBy>法制處</cp:lastModifiedBy>
  <cp:lastPrinted>2013-05-14T09:07:00Z</cp:lastPrinted>
  <dcterms:modified xsi:type="dcterms:W3CDTF">2024-05-20T05:53:00Z</dcterms:modified>
  <cp:revision>2</cp:revision>
  <dc:subject/>
  <dc:title>臺南市政府文化局對民間團體及個人藝文補助作業要點總說明 </dc:title>
</cp:coreProperties>
</file>